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BD2" w:rsidRPr="0014103E" w:rsidRDefault="00106FAB" w:rsidP="00106FAB">
      <w:pPr>
        <w:jc w:val="center"/>
        <w:rPr>
          <w:b/>
          <w:sz w:val="48"/>
          <w:szCs w:val="48"/>
        </w:rPr>
      </w:pPr>
      <w:r>
        <w:rPr>
          <w:noProof/>
          <w:lang w:eastAsia="fr-FR"/>
        </w:rPr>
        <w:drawing>
          <wp:anchor distT="0" distB="0" distL="114300" distR="114300" simplePos="0" relativeHeight="251663360" behindDoc="1" locked="0" layoutInCell="1" allowOverlap="1">
            <wp:simplePos x="0" y="0"/>
            <wp:positionH relativeFrom="column">
              <wp:posOffset>8489315</wp:posOffset>
            </wp:positionH>
            <wp:positionV relativeFrom="page">
              <wp:posOffset>990600</wp:posOffset>
            </wp:positionV>
            <wp:extent cx="1205230" cy="125730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205230" cy="1257300"/>
                    </a:xfrm>
                    <a:prstGeom prst="rect">
                      <a:avLst/>
                    </a:prstGeom>
                  </pic:spPr>
                </pic:pic>
              </a:graphicData>
            </a:graphic>
          </wp:anchor>
        </w:drawing>
      </w:r>
      <w:r w:rsidRPr="007844DD">
        <w:rPr>
          <w:noProof/>
          <w:lang w:eastAsia="fr-FR"/>
        </w:rPr>
        <w:drawing>
          <wp:anchor distT="0" distB="0" distL="114300" distR="114300" simplePos="0" relativeHeight="251659264" behindDoc="1" locked="0" layoutInCell="1" allowOverlap="1">
            <wp:simplePos x="0" y="0"/>
            <wp:positionH relativeFrom="column">
              <wp:posOffset>-234950</wp:posOffset>
            </wp:positionH>
            <wp:positionV relativeFrom="page">
              <wp:posOffset>1076325</wp:posOffset>
            </wp:positionV>
            <wp:extent cx="2133600" cy="1266453"/>
            <wp:effectExtent l="0" t="0" r="0" b="0"/>
            <wp:wrapNone/>
            <wp:docPr id="23" name="Image 23" descr="F:\LOGO CCPCP-lettre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 CCPCP-lettre RVB.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33600" cy="1266453"/>
                    </a:xfrm>
                    <a:prstGeom prst="rect">
                      <a:avLst/>
                    </a:prstGeom>
                    <a:noFill/>
                    <a:ln>
                      <a:noFill/>
                    </a:ln>
                  </pic:spPr>
                </pic:pic>
              </a:graphicData>
            </a:graphic>
          </wp:anchor>
        </w:drawing>
      </w:r>
      <w:r w:rsidR="00BA3BD2" w:rsidRPr="0014103E">
        <w:rPr>
          <w:b/>
          <w:sz w:val="48"/>
          <w:szCs w:val="48"/>
        </w:rPr>
        <w:t>DEPARTEMENT DU FINISTERE</w:t>
      </w:r>
    </w:p>
    <w:p w:rsidR="00BA3BD2" w:rsidRDefault="00BA3BD2" w:rsidP="00BA3BD2">
      <w:pPr>
        <w:jc w:val="center"/>
      </w:pPr>
    </w:p>
    <w:p w:rsidR="00BA3BD2" w:rsidRDefault="00BA3BD2" w:rsidP="00BA3BD2">
      <w:pPr>
        <w:jc w:val="center"/>
      </w:pPr>
    </w:p>
    <w:p w:rsidR="00BA3BD2" w:rsidRDefault="00BA3BD2" w:rsidP="00BA3BD2">
      <w:pPr>
        <w:jc w:val="center"/>
      </w:pPr>
    </w:p>
    <w:p w:rsidR="00BA3BD2" w:rsidRDefault="00BA3BD2" w:rsidP="00BA3BD2">
      <w:pPr>
        <w:spacing w:after="0"/>
        <w:jc w:val="center"/>
      </w:pPr>
    </w:p>
    <w:p w:rsidR="00106FAB" w:rsidRPr="008B5AFD" w:rsidRDefault="00106FAB" w:rsidP="00106FAB">
      <w:pPr>
        <w:jc w:val="center"/>
        <w:rPr>
          <w:b/>
          <w:sz w:val="68"/>
          <w:szCs w:val="68"/>
        </w:rPr>
      </w:pPr>
      <w:r>
        <w:rPr>
          <w:b/>
          <w:sz w:val="68"/>
          <w:szCs w:val="68"/>
        </w:rPr>
        <w:t>Commune de PLOMODIERN</w:t>
      </w:r>
      <w:r w:rsidRPr="008B5AFD">
        <w:rPr>
          <w:b/>
          <w:sz w:val="68"/>
          <w:szCs w:val="68"/>
        </w:rPr>
        <w:t xml:space="preserve"> </w:t>
      </w:r>
    </w:p>
    <w:p w:rsidR="00106FAB" w:rsidRDefault="00106FAB" w:rsidP="00106FAB">
      <w:pPr>
        <w:jc w:val="center"/>
        <w:rPr>
          <w:b/>
          <w:sz w:val="40"/>
          <w:szCs w:val="40"/>
        </w:rPr>
      </w:pPr>
      <w:r>
        <w:rPr>
          <w:b/>
          <w:sz w:val="40"/>
          <w:szCs w:val="40"/>
        </w:rPr>
        <w:t>Modification n°1 du PLAN LOCAL D’URBANISME</w:t>
      </w:r>
    </w:p>
    <w:p w:rsidR="00106FAB" w:rsidRDefault="00106FAB" w:rsidP="00106FAB">
      <w:pPr>
        <w:spacing w:after="0"/>
        <w:jc w:val="center"/>
        <w:rPr>
          <w:sz w:val="32"/>
          <w:szCs w:val="32"/>
        </w:rPr>
      </w:pPr>
    </w:p>
    <w:p w:rsidR="00106FAB" w:rsidRPr="00043ADD" w:rsidRDefault="004D39F9" w:rsidP="00106FAB">
      <w:pPr>
        <w:jc w:val="center"/>
        <w:rPr>
          <w:sz w:val="32"/>
          <w:szCs w:val="32"/>
        </w:rPr>
      </w:pPr>
      <w:r>
        <w:rPr>
          <w:noProof/>
          <w:sz w:val="32"/>
          <w:szCs w:val="32"/>
          <w:lang w:eastAsia="fr-FR"/>
        </w:rPr>
        <w:pict>
          <v:roundrect id="Rectangle à coins arrondis 4" o:spid="_x0000_s1026" style="position:absolute;left:0;text-align:left;margin-left:264pt;margin-top:23.65pt;width:259.5pt;height:42.7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" filled="f" strokecolor="black [3213]" strokeweight="3.25pt">
            <v:stroke linestyle="thinThin" joinstyle="miter"/>
          </v:roundrect>
        </w:pict>
      </w:r>
    </w:p>
    <w:p w:rsidR="00106FAB" w:rsidRPr="00BF5484" w:rsidRDefault="00106FAB" w:rsidP="00106FAB">
      <w:pPr>
        <w:jc w:val="center"/>
        <w:rPr>
          <w:b/>
          <w:smallCaps/>
          <w:color w:val="000000" w:themeColor="text1"/>
          <w:sz w:val="40"/>
          <w:szCs w:val="40"/>
        </w:rPr>
      </w:pPr>
      <w:r w:rsidRPr="00BF5484">
        <w:rPr>
          <w:b/>
          <w:smallCaps/>
          <w:color w:val="000000" w:themeColor="text1"/>
          <w:sz w:val="40"/>
          <w:szCs w:val="40"/>
        </w:rPr>
        <w:t>Dossier d’enquête publique</w:t>
      </w:r>
    </w:p>
    <w:p w:rsidR="00BA3BD2" w:rsidRDefault="00BA3BD2" w:rsidP="00BA3BD2">
      <w:pPr>
        <w:spacing w:after="0"/>
        <w:jc w:val="center"/>
        <w:rPr>
          <w:sz w:val="32"/>
          <w:szCs w:val="32"/>
        </w:rPr>
      </w:pPr>
    </w:p>
    <w:p w:rsidR="00BA3BD2" w:rsidRDefault="00BA3BD2" w:rsidP="00BA3BD2"/>
    <w:p w:rsidR="00BA3BD2" w:rsidRDefault="00BA3BD2" w:rsidP="00BA3BD2">
      <w:pPr>
        <w:jc w:val="center"/>
      </w:pPr>
      <w:r>
        <w:rPr>
          <w:b/>
          <w:smallCaps/>
          <w:color w:val="7F7F7F" w:themeColor="text1" w:themeTint="80"/>
          <w:sz w:val="36"/>
          <w:szCs w:val="36"/>
        </w:rPr>
        <w:t xml:space="preserve">Synthèse avis des </w:t>
      </w:r>
      <w:proofErr w:type="spellStart"/>
      <w:r>
        <w:rPr>
          <w:b/>
          <w:smallCaps/>
          <w:color w:val="7F7F7F" w:themeColor="text1" w:themeTint="80"/>
          <w:sz w:val="36"/>
          <w:szCs w:val="36"/>
        </w:rPr>
        <w:t>ppa</w:t>
      </w:r>
      <w:proofErr w:type="spellEnd"/>
      <w:r>
        <w:rPr>
          <w:b/>
          <w:smallCaps/>
          <w:color w:val="7F7F7F" w:themeColor="text1" w:themeTint="80"/>
          <w:sz w:val="36"/>
          <w:szCs w:val="36"/>
        </w:rPr>
        <w:t xml:space="preserve"> et éléments d</w:t>
      </w:r>
      <w:r w:rsidR="00106FAB">
        <w:rPr>
          <w:b/>
          <w:smallCaps/>
          <w:color w:val="7F7F7F" w:themeColor="text1" w:themeTint="80"/>
          <w:sz w:val="36"/>
          <w:szCs w:val="36"/>
        </w:rPr>
        <w:t>e</w:t>
      </w:r>
      <w:r>
        <w:rPr>
          <w:b/>
          <w:smallCaps/>
          <w:color w:val="7F7F7F" w:themeColor="text1" w:themeTint="80"/>
          <w:sz w:val="36"/>
          <w:szCs w:val="36"/>
        </w:rPr>
        <w:t xml:space="preserve"> réponse du maître d’ouvrage</w:t>
      </w:r>
    </w:p>
    <w:p w:rsidR="00BA3BD2" w:rsidRDefault="00BA3BD2" w:rsidP="00BA3BD2"/>
    <w:p w:rsidR="00BA3BD2" w:rsidRDefault="00BA3BD2" w:rsidP="00BA3BD2"/>
    <w:p w:rsidR="00BA3BD2" w:rsidRDefault="004D39F9" w:rsidP="00BA3BD2">
      <w:pPr>
        <w:rPr>
          <w:b/>
          <w:u w:val="single"/>
        </w:rPr>
      </w:pPr>
      <w:r w:rsidRPr="004D39F9">
        <w:rPr>
          <w:noProof/>
          <w:lang w:eastAsia="fr-FR"/>
        </w:rPr>
        <w:pict>
          <v:roundrect id="Rectangle à coins arrondis 20" o:spid="_x0000_s1028" style="position:absolute;margin-left:-9pt;margin-top:487.5pt;width:197.25pt;height:6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" fillcolor="#92d050" strokecolor="#f2f2f2 [3041]" strokeweight="3pt">
            <v:shadow on="t" color="#7f5f00 [1607]" opacity=".5" offset="1pt"/>
            <w10:wrap anchory="page"/>
          </v:roundrect>
        </w:pict>
      </w:r>
      <w:r w:rsidRPr="004D39F9">
        <w:rPr>
          <w:noProof/>
          <w:lang w:eastAsia="fr-FR"/>
        </w:rPr>
        <w:pict>
          <v:shapetype id="_x0000_t202" coordsize="21600,21600" o:spt="202" path="m,l,21600r21600,l21600,xe">
            <v:stroke joinstyle="miter"/>
            <v:path gradientshapeok="t" o:connecttype="rect"/>
          </v:shapetype>
          <v:shape id="Zone de texte 21" o:spid="_x0000_s1027" type="#_x0000_t202" style="position:absolute;margin-left:-8.25pt;margin-top:497.25pt;width:192.65pt;height:53.5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" filled="f" fillcolor="white [3212]" stroked="f">
            <v:textbox style="mso-fit-shape-to-text:t">
              <w:txbxContent>
                <w:p w:rsidR="00BA3BD2" w:rsidRDefault="00BA3BD2" w:rsidP="00BA3BD2">
                  <w:pPr>
                    <w:jc w:val="center"/>
                  </w:pPr>
                  <w:r w:rsidRPr="00283C8A">
                    <w:rPr>
                      <w:b/>
                      <w:sz w:val="24"/>
                      <w:szCs w:val="24"/>
                    </w:rPr>
                    <w:t>URBANISME PARTAGE</w:t>
                  </w:r>
                </w:p>
                <w:p w:rsidR="00BA3BD2" w:rsidRDefault="00BA3BD2" w:rsidP="00BA3BD2">
                  <w:pPr>
                    <w:jc w:val="center"/>
                  </w:pPr>
                  <w:r>
                    <w:t>TANGUY/BESREST/AGAP</w:t>
                  </w:r>
                </w:p>
              </w:txbxContent>
            </v:textbox>
            <w10:wrap anchory="page"/>
          </v:shape>
        </w:pict>
      </w:r>
      <w:r w:rsidR="00BA3BD2">
        <w:rPr>
          <w:b/>
          <w:u w:val="single"/>
        </w:rPr>
        <w:br w:type="page"/>
      </w:r>
    </w:p>
    <w:tbl>
      <w:tblPr>
        <w:tblStyle w:val="Grilledutableau"/>
        <w:tblW w:w="0" w:type="auto"/>
        <w:tblLook w:val="04A0"/>
      </w:tblPr>
      <w:tblGrid>
        <w:gridCol w:w="2689"/>
        <w:gridCol w:w="6804"/>
        <w:gridCol w:w="5917"/>
      </w:tblGrid>
      <w:tr w:rsidR="00400F1A" w:rsidRPr="00400F1A" w:rsidTr="00057777">
        <w:trPr>
          <w:trHeight w:val="567"/>
        </w:trPr>
        <w:tc>
          <w:tcPr>
            <w:tcW w:w="2689" w:type="dxa"/>
            <w:shd w:val="clear" w:color="auto" w:fill="E7E6E6" w:themeFill="background2"/>
            <w:vAlign w:val="center"/>
          </w:tcPr>
          <w:p w:rsidR="00400F1A" w:rsidRPr="00C64021" w:rsidRDefault="00400F1A" w:rsidP="00057777">
            <w:pPr>
              <w:jc w:val="center"/>
              <w:rPr>
                <w:b/>
                <w:sz w:val="28"/>
                <w:szCs w:val="28"/>
              </w:rPr>
            </w:pPr>
            <w:r w:rsidRPr="00C64021">
              <w:rPr>
                <w:b/>
                <w:sz w:val="28"/>
                <w:szCs w:val="28"/>
              </w:rPr>
              <w:lastRenderedPageBreak/>
              <w:t>PPA</w:t>
            </w:r>
          </w:p>
        </w:tc>
        <w:tc>
          <w:tcPr>
            <w:tcW w:w="6804" w:type="dxa"/>
            <w:shd w:val="clear" w:color="auto" w:fill="E7E6E6" w:themeFill="background2"/>
            <w:vAlign w:val="center"/>
          </w:tcPr>
          <w:p w:rsidR="00400F1A" w:rsidRPr="00400F1A" w:rsidRDefault="00C64021" w:rsidP="00C64021">
            <w:pPr>
              <w:jc w:val="center"/>
              <w:rPr>
                <w:b/>
                <w:sz w:val="28"/>
                <w:szCs w:val="28"/>
              </w:rPr>
            </w:pPr>
            <w:r>
              <w:rPr>
                <w:b/>
                <w:sz w:val="28"/>
                <w:szCs w:val="28"/>
              </w:rPr>
              <w:t>Synthèse de l’observation</w:t>
            </w:r>
          </w:p>
        </w:tc>
        <w:tc>
          <w:tcPr>
            <w:tcW w:w="5917" w:type="dxa"/>
            <w:shd w:val="clear" w:color="auto" w:fill="E7E6E6" w:themeFill="background2"/>
            <w:vAlign w:val="center"/>
          </w:tcPr>
          <w:p w:rsidR="00400F1A" w:rsidRPr="00652099" w:rsidRDefault="00C64021" w:rsidP="00BA1338">
            <w:pPr>
              <w:jc w:val="both"/>
              <w:rPr>
                <w:b/>
                <w:color w:val="2E74B5" w:themeColor="accent1" w:themeShade="BF"/>
                <w:sz w:val="28"/>
                <w:szCs w:val="28"/>
              </w:rPr>
            </w:pPr>
            <w:r w:rsidRPr="00652099">
              <w:rPr>
                <w:b/>
                <w:color w:val="2E74B5" w:themeColor="accent1" w:themeShade="BF"/>
                <w:sz w:val="28"/>
                <w:szCs w:val="28"/>
              </w:rPr>
              <w:t>Eléments de r</w:t>
            </w:r>
            <w:r w:rsidR="0044731B" w:rsidRPr="00652099">
              <w:rPr>
                <w:b/>
                <w:color w:val="2E74B5" w:themeColor="accent1" w:themeShade="BF"/>
                <w:sz w:val="28"/>
                <w:szCs w:val="28"/>
              </w:rPr>
              <w:t xml:space="preserve">éponse </w:t>
            </w:r>
            <w:r w:rsidRPr="00652099">
              <w:rPr>
                <w:b/>
                <w:color w:val="2E74B5" w:themeColor="accent1" w:themeShade="BF"/>
                <w:sz w:val="28"/>
                <w:szCs w:val="28"/>
              </w:rPr>
              <w:t xml:space="preserve">du </w:t>
            </w:r>
            <w:r w:rsidR="0044731B" w:rsidRPr="00652099">
              <w:rPr>
                <w:b/>
                <w:color w:val="2E74B5" w:themeColor="accent1" w:themeShade="BF"/>
                <w:sz w:val="28"/>
                <w:szCs w:val="28"/>
              </w:rPr>
              <w:t>maître d’ouvrage</w:t>
            </w:r>
          </w:p>
        </w:tc>
      </w:tr>
      <w:tr w:rsidR="00400F1A" w:rsidTr="00057777">
        <w:tc>
          <w:tcPr>
            <w:tcW w:w="2689" w:type="dxa"/>
            <w:vAlign w:val="center"/>
          </w:tcPr>
          <w:p w:rsidR="00400F1A" w:rsidRPr="00C64021" w:rsidRDefault="0044731B" w:rsidP="00094129">
            <w:pPr>
              <w:jc w:val="center"/>
              <w:rPr>
                <w:b/>
              </w:rPr>
            </w:pPr>
            <w:r w:rsidRPr="00C64021">
              <w:rPr>
                <w:b/>
              </w:rPr>
              <w:t>Préfet (</w:t>
            </w:r>
            <w:r w:rsidR="00094129">
              <w:rPr>
                <w:b/>
              </w:rPr>
              <w:t>29</w:t>
            </w:r>
            <w:r w:rsidR="00106FAB">
              <w:rPr>
                <w:b/>
              </w:rPr>
              <w:t>/10/2019</w:t>
            </w:r>
            <w:r w:rsidRPr="00C64021">
              <w:rPr>
                <w:b/>
              </w:rPr>
              <w:t>)</w:t>
            </w:r>
          </w:p>
        </w:tc>
        <w:tc>
          <w:tcPr>
            <w:tcW w:w="6804" w:type="dxa"/>
          </w:tcPr>
          <w:p w:rsidR="00400F1A" w:rsidRDefault="00BF4E1F" w:rsidP="00431389">
            <w:pPr>
              <w:pStyle w:val="Paragraphedeliste"/>
              <w:numPr>
                <w:ilvl w:val="0"/>
                <w:numId w:val="3"/>
              </w:numPr>
              <w:spacing w:before="100" w:after="100"/>
              <w:ind w:left="357" w:hanging="357"/>
              <w:contextualSpacing w:val="0"/>
              <w:jc w:val="both"/>
            </w:pPr>
            <w:r>
              <w:t xml:space="preserve">Les règles relatives à la gestion des bâtiments d’habitation existants en zones agricoles et naturelles différent du règlement type validé par la CDPENAF le 30 septembre 2016. </w:t>
            </w:r>
          </w:p>
          <w:p w:rsidR="00BF4E1F" w:rsidRDefault="00BF4E1F" w:rsidP="00C64021">
            <w:pPr>
              <w:pStyle w:val="Paragraphedeliste"/>
              <w:numPr>
                <w:ilvl w:val="0"/>
                <w:numId w:val="3"/>
              </w:numPr>
              <w:spacing w:before="100" w:after="100"/>
              <w:ind w:left="357" w:hanging="357"/>
              <w:contextualSpacing w:val="0"/>
              <w:jc w:val="both"/>
            </w:pPr>
            <w:r>
              <w:t>La modification de l’article 6 du secteur UC</w:t>
            </w:r>
            <w:r w:rsidR="0087637B">
              <w:t xml:space="preserve"> (remplacement du terme « entre 0 et 15 m » par « minimale de 5 m ») n’est pas en adéquation avec l’orientation du PADD du PLU en vigueur qui est de « repenser le modèle de développement urbain dans le respect du Grenelle de l’environnement et du SCoT de la CCPCP notamment en consommant mieux l’espace au travers de la mise en œuvre de formes urbaines compactes et denses ». Cette règle ne concourt pas à une gestion économe de l’espace : une construction pourra être édifiée au milieu d’une très grande parcelle, ne permettant pas dans le futur d’y implanter d’autres constructions</w:t>
            </w:r>
          </w:p>
        </w:tc>
        <w:tc>
          <w:tcPr>
            <w:tcW w:w="5917" w:type="dxa"/>
          </w:tcPr>
          <w:p w:rsidR="00BA3BD2" w:rsidRPr="00DE3C3B" w:rsidRDefault="00431389" w:rsidP="00431389">
            <w:pPr>
              <w:pStyle w:val="Paragraphedeliste"/>
              <w:numPr>
                <w:ilvl w:val="0"/>
                <w:numId w:val="3"/>
              </w:numPr>
              <w:spacing w:before="100" w:after="100"/>
              <w:ind w:left="357" w:hanging="357"/>
              <w:contextualSpacing w:val="0"/>
              <w:jc w:val="both"/>
              <w:rPr>
                <w:color w:val="2E74B5" w:themeColor="accent1" w:themeShade="BF"/>
              </w:rPr>
            </w:pPr>
            <w:r w:rsidRPr="00DE3C3B">
              <w:rPr>
                <w:color w:val="2E74B5" w:themeColor="accent1" w:themeShade="BF"/>
              </w:rPr>
              <w:t xml:space="preserve">La doctrine départementale de la CDPENAF sera reprise et étendue aux zones Ah et </w:t>
            </w:r>
            <w:proofErr w:type="spellStart"/>
            <w:r w:rsidRPr="00DE3C3B">
              <w:rPr>
                <w:color w:val="2E74B5" w:themeColor="accent1" w:themeShade="BF"/>
              </w:rPr>
              <w:t>Nh</w:t>
            </w:r>
            <w:proofErr w:type="spellEnd"/>
            <w:r w:rsidRPr="00DE3C3B">
              <w:rPr>
                <w:color w:val="2E74B5" w:themeColor="accent1" w:themeShade="BF"/>
              </w:rPr>
              <w:t xml:space="preserve"> délimitées antérieurement à la loi ALUR</w:t>
            </w:r>
            <w:r w:rsidR="00DE3C3B" w:rsidRPr="00DE3C3B">
              <w:rPr>
                <w:color w:val="2E74B5" w:themeColor="accent1" w:themeShade="BF"/>
              </w:rPr>
              <w:t xml:space="preserve"> (voir p. suivante réponse à la CDPENAF)</w:t>
            </w:r>
          </w:p>
          <w:p w:rsidR="00652099" w:rsidRPr="00DE3C3B" w:rsidRDefault="00652099" w:rsidP="00431389">
            <w:pPr>
              <w:pStyle w:val="Paragraphedeliste"/>
              <w:numPr>
                <w:ilvl w:val="0"/>
                <w:numId w:val="3"/>
              </w:numPr>
              <w:jc w:val="both"/>
              <w:rPr>
                <w:color w:val="2E74B5" w:themeColor="accent1" w:themeShade="BF"/>
              </w:rPr>
            </w:pPr>
            <w:r w:rsidRPr="00DE3C3B">
              <w:rPr>
                <w:color w:val="2E74B5" w:themeColor="accent1" w:themeShade="BF"/>
              </w:rPr>
              <w:t>L’arti</w:t>
            </w:r>
            <w:r w:rsidR="00431389" w:rsidRPr="00DE3C3B">
              <w:rPr>
                <w:color w:val="2E74B5" w:themeColor="accent1" w:themeShade="BF"/>
              </w:rPr>
              <w:t>cle</w:t>
            </w:r>
            <w:r w:rsidRPr="00DE3C3B">
              <w:rPr>
                <w:color w:val="2E74B5" w:themeColor="accent1" w:themeShade="BF"/>
              </w:rPr>
              <w:t xml:space="preserve"> UC6 sera rédigé de la manière suivante : Les constructions principales doivent être édifiées à une distance comprise entre 0 et 15 mètres par rapport à l'alignement existant des voies et places, publiques ou privées, ou par rapport à l'alignement futur.  </w:t>
            </w:r>
          </w:p>
          <w:p w:rsidR="00652099" w:rsidRPr="00DE3C3B" w:rsidRDefault="00652099" w:rsidP="00431389">
            <w:pPr>
              <w:ind w:left="360" w:right="24"/>
              <w:jc w:val="both"/>
              <w:rPr>
                <w:color w:val="2E74B5" w:themeColor="accent1" w:themeShade="BF"/>
              </w:rPr>
            </w:pPr>
            <w:r w:rsidRPr="00DE3C3B">
              <w:rPr>
                <w:color w:val="2E74B5" w:themeColor="accent1" w:themeShade="BF"/>
              </w:rPr>
              <w:t xml:space="preserve">En cas de terrain profond permettant l'implantation en arrière d'une deuxième construction ou rangée de constructions, cette règle ne concerne que la première construction ou rangée de constructions. </w:t>
            </w:r>
          </w:p>
          <w:p w:rsidR="00A829DE" w:rsidRPr="00DE3C3B" w:rsidRDefault="00652099" w:rsidP="00431389">
            <w:pPr>
              <w:ind w:left="360" w:right="24"/>
              <w:jc w:val="both"/>
              <w:rPr>
                <w:color w:val="2E74B5" w:themeColor="accent1" w:themeShade="BF"/>
              </w:rPr>
            </w:pPr>
            <w:r w:rsidRPr="00DE3C3B">
              <w:rPr>
                <w:color w:val="2E74B5" w:themeColor="accent1" w:themeShade="BF"/>
              </w:rPr>
              <w:t xml:space="preserve">Dans ce cas, l’implantation de la construction devra satisfaire aux dispositions des articles 7 et 8 du présent chapitre. </w:t>
            </w:r>
          </w:p>
          <w:p w:rsidR="00A829DE" w:rsidRPr="00652099" w:rsidRDefault="00A829DE" w:rsidP="00A829DE">
            <w:pPr>
              <w:jc w:val="both"/>
              <w:rPr>
                <w:color w:val="2E74B5" w:themeColor="accent1" w:themeShade="BF"/>
              </w:rPr>
            </w:pPr>
          </w:p>
        </w:tc>
      </w:tr>
      <w:tr w:rsidR="0087637B" w:rsidTr="00057777">
        <w:tc>
          <w:tcPr>
            <w:tcW w:w="2689" w:type="dxa"/>
            <w:vAlign w:val="center"/>
          </w:tcPr>
          <w:p w:rsidR="0087637B" w:rsidRPr="00C64021" w:rsidRDefault="0087637B" w:rsidP="00094129">
            <w:pPr>
              <w:jc w:val="center"/>
              <w:rPr>
                <w:b/>
              </w:rPr>
            </w:pPr>
            <w:r>
              <w:rPr>
                <w:b/>
              </w:rPr>
              <w:t>Chambre d’Agriculture (</w:t>
            </w:r>
            <w:r w:rsidR="00094129">
              <w:rPr>
                <w:b/>
              </w:rPr>
              <w:t>1</w:t>
            </w:r>
            <w:r>
              <w:rPr>
                <w:b/>
              </w:rPr>
              <w:t>8/10/2019)</w:t>
            </w:r>
          </w:p>
        </w:tc>
        <w:tc>
          <w:tcPr>
            <w:tcW w:w="6804" w:type="dxa"/>
          </w:tcPr>
          <w:p w:rsidR="0087637B" w:rsidRDefault="0087637B" w:rsidP="00C64021">
            <w:pPr>
              <w:pStyle w:val="Paragraphedeliste"/>
              <w:numPr>
                <w:ilvl w:val="0"/>
                <w:numId w:val="3"/>
              </w:numPr>
              <w:spacing w:before="100" w:after="100"/>
              <w:ind w:left="357" w:hanging="357"/>
              <w:contextualSpacing w:val="0"/>
              <w:jc w:val="both"/>
            </w:pPr>
            <w:r>
              <w:t>Recommande que la doctrine de la CDPENAF soit reprise pour les potentiels d’extension d’habitation et également sur les hauteurs des extensions et annexes.</w:t>
            </w:r>
          </w:p>
        </w:tc>
        <w:tc>
          <w:tcPr>
            <w:tcW w:w="5917" w:type="dxa"/>
          </w:tcPr>
          <w:p w:rsidR="00DE3C3B" w:rsidRPr="00DE3C3B" w:rsidRDefault="00431389" w:rsidP="00DE3C3B">
            <w:pPr>
              <w:pStyle w:val="Paragraphedeliste"/>
              <w:numPr>
                <w:ilvl w:val="0"/>
                <w:numId w:val="3"/>
              </w:numPr>
              <w:spacing w:before="100" w:after="100"/>
              <w:ind w:left="357" w:hanging="357"/>
              <w:contextualSpacing w:val="0"/>
              <w:jc w:val="both"/>
              <w:rPr>
                <w:color w:val="2E74B5" w:themeColor="accent1" w:themeShade="BF"/>
              </w:rPr>
            </w:pPr>
            <w:r w:rsidRPr="00DE3C3B">
              <w:rPr>
                <w:color w:val="2E74B5" w:themeColor="accent1" w:themeShade="BF"/>
              </w:rPr>
              <w:t xml:space="preserve">La doctrine départementale de la CDPENAF sera reprise et étendue aux zones Ah et </w:t>
            </w:r>
            <w:proofErr w:type="spellStart"/>
            <w:r w:rsidRPr="00DE3C3B">
              <w:rPr>
                <w:color w:val="2E74B5" w:themeColor="accent1" w:themeShade="BF"/>
              </w:rPr>
              <w:t>Nh</w:t>
            </w:r>
            <w:proofErr w:type="spellEnd"/>
            <w:r w:rsidRPr="00DE3C3B">
              <w:rPr>
                <w:color w:val="2E74B5" w:themeColor="accent1" w:themeShade="BF"/>
              </w:rPr>
              <w:t xml:space="preserve"> délimitées antérieurement à la loi ALUR</w:t>
            </w:r>
            <w:r w:rsidR="00DE3C3B" w:rsidRPr="00DE3C3B">
              <w:rPr>
                <w:color w:val="2E74B5" w:themeColor="accent1" w:themeShade="BF"/>
              </w:rPr>
              <w:t xml:space="preserve"> (voir p. suivante réponse à la CDPENAF)</w:t>
            </w:r>
          </w:p>
          <w:p w:rsidR="0087637B" w:rsidRPr="00431389" w:rsidRDefault="0087637B" w:rsidP="00DE3C3B">
            <w:pPr>
              <w:pStyle w:val="Paragraphedeliste"/>
              <w:spacing w:before="100" w:after="100"/>
              <w:ind w:left="357"/>
              <w:contextualSpacing w:val="0"/>
              <w:jc w:val="both"/>
              <w:rPr>
                <w:color w:val="2E74B5" w:themeColor="accent1" w:themeShade="BF"/>
              </w:rPr>
            </w:pPr>
          </w:p>
        </w:tc>
      </w:tr>
      <w:tr w:rsidR="0087637B" w:rsidTr="00652099">
        <w:tc>
          <w:tcPr>
            <w:tcW w:w="2689" w:type="dxa"/>
            <w:vAlign w:val="center"/>
          </w:tcPr>
          <w:p w:rsidR="0087637B" w:rsidRPr="00C64021" w:rsidRDefault="0087637B" w:rsidP="009E6A1B">
            <w:pPr>
              <w:jc w:val="center"/>
              <w:rPr>
                <w:b/>
              </w:rPr>
            </w:pPr>
            <w:r>
              <w:rPr>
                <w:b/>
              </w:rPr>
              <w:t>Chambre des Métiers et de l’Artisanat (22/08/2019)</w:t>
            </w:r>
          </w:p>
        </w:tc>
        <w:tc>
          <w:tcPr>
            <w:tcW w:w="6804" w:type="dxa"/>
            <w:vAlign w:val="center"/>
          </w:tcPr>
          <w:p w:rsidR="0087637B" w:rsidRDefault="0087637B" w:rsidP="00652099">
            <w:pPr>
              <w:pStyle w:val="Paragraphedeliste"/>
              <w:numPr>
                <w:ilvl w:val="0"/>
                <w:numId w:val="4"/>
              </w:numPr>
              <w:spacing w:before="100" w:after="100"/>
            </w:pPr>
            <w:r>
              <w:t>Avis favorable</w:t>
            </w:r>
          </w:p>
        </w:tc>
        <w:tc>
          <w:tcPr>
            <w:tcW w:w="5917" w:type="dxa"/>
            <w:vAlign w:val="center"/>
          </w:tcPr>
          <w:p w:rsidR="0087637B" w:rsidRPr="00652099" w:rsidRDefault="00A829DE" w:rsidP="00652099">
            <w:pPr>
              <w:jc w:val="center"/>
              <w:rPr>
                <w:color w:val="2E74B5" w:themeColor="accent1" w:themeShade="BF"/>
              </w:rPr>
            </w:pPr>
            <w:r w:rsidRPr="00652099">
              <w:rPr>
                <w:color w:val="2E74B5" w:themeColor="accent1" w:themeShade="BF"/>
              </w:rPr>
              <w:t>/</w:t>
            </w:r>
          </w:p>
        </w:tc>
      </w:tr>
      <w:tr w:rsidR="00094129" w:rsidTr="00652099">
        <w:tc>
          <w:tcPr>
            <w:tcW w:w="2689" w:type="dxa"/>
            <w:vAlign w:val="center"/>
          </w:tcPr>
          <w:p w:rsidR="00094129" w:rsidRPr="00C64021" w:rsidRDefault="00094129" w:rsidP="00094129">
            <w:pPr>
              <w:jc w:val="center"/>
              <w:rPr>
                <w:b/>
              </w:rPr>
            </w:pPr>
            <w:r w:rsidRPr="00C64021">
              <w:rPr>
                <w:b/>
              </w:rPr>
              <w:t>CCI Métropolitaine Bretagne Ouest – Brest (</w:t>
            </w:r>
            <w:r>
              <w:rPr>
                <w:b/>
              </w:rPr>
              <w:t>13/12/</w:t>
            </w:r>
            <w:r w:rsidRPr="00C64021">
              <w:rPr>
                <w:b/>
              </w:rPr>
              <w:t>2019)</w:t>
            </w:r>
          </w:p>
        </w:tc>
        <w:tc>
          <w:tcPr>
            <w:tcW w:w="6804" w:type="dxa"/>
            <w:vAlign w:val="center"/>
          </w:tcPr>
          <w:p w:rsidR="00094129" w:rsidRDefault="00094129" w:rsidP="00652099">
            <w:pPr>
              <w:pStyle w:val="Paragraphedeliste"/>
              <w:numPr>
                <w:ilvl w:val="0"/>
                <w:numId w:val="4"/>
              </w:numPr>
              <w:spacing w:before="100"/>
              <w:ind w:left="357" w:hanging="357"/>
              <w:contextualSpacing w:val="0"/>
            </w:pPr>
            <w:r>
              <w:t>Avis favorable</w:t>
            </w:r>
          </w:p>
        </w:tc>
        <w:tc>
          <w:tcPr>
            <w:tcW w:w="5917" w:type="dxa"/>
            <w:vAlign w:val="center"/>
          </w:tcPr>
          <w:p w:rsidR="00094129" w:rsidRPr="00652099" w:rsidRDefault="00A829DE" w:rsidP="00652099">
            <w:pPr>
              <w:jc w:val="center"/>
              <w:rPr>
                <w:color w:val="2E74B5" w:themeColor="accent1" w:themeShade="BF"/>
              </w:rPr>
            </w:pPr>
            <w:r w:rsidRPr="00652099">
              <w:rPr>
                <w:color w:val="2E74B5" w:themeColor="accent1" w:themeShade="BF"/>
              </w:rPr>
              <w:t>/</w:t>
            </w:r>
          </w:p>
        </w:tc>
      </w:tr>
      <w:tr w:rsidR="0002311A" w:rsidTr="009E6A1B">
        <w:tc>
          <w:tcPr>
            <w:tcW w:w="2689" w:type="dxa"/>
            <w:vAlign w:val="center"/>
          </w:tcPr>
          <w:p w:rsidR="0002311A" w:rsidRPr="00C64021" w:rsidRDefault="0002311A" w:rsidP="009E6A1B">
            <w:pPr>
              <w:jc w:val="center"/>
              <w:rPr>
                <w:b/>
              </w:rPr>
            </w:pPr>
            <w:r w:rsidRPr="00C64021">
              <w:rPr>
                <w:b/>
              </w:rPr>
              <w:t>Région Bretagne (1</w:t>
            </w:r>
            <w:r>
              <w:rPr>
                <w:b/>
              </w:rPr>
              <w:t>1</w:t>
            </w:r>
            <w:r w:rsidRPr="00C64021">
              <w:rPr>
                <w:b/>
              </w:rPr>
              <w:t>/10/2019)</w:t>
            </w:r>
          </w:p>
        </w:tc>
        <w:tc>
          <w:tcPr>
            <w:tcW w:w="6804" w:type="dxa"/>
          </w:tcPr>
          <w:p w:rsidR="0002311A" w:rsidRDefault="0002311A" w:rsidP="009E6A1B">
            <w:pPr>
              <w:pStyle w:val="Paragraphedeliste"/>
              <w:numPr>
                <w:ilvl w:val="0"/>
                <w:numId w:val="3"/>
              </w:numPr>
              <w:spacing w:before="100" w:after="100"/>
              <w:ind w:left="357" w:hanging="357"/>
              <w:contextualSpacing w:val="0"/>
              <w:jc w:val="both"/>
            </w:pPr>
            <w:r>
              <w:t>Invite la collectivité à s’engager volontairement sur 1 ou plusieurs des 38 objectifs du SRADDET (non approuvé à la date de remise de son avis) dans le cadre des documents de planification que le territoire peut compter (SCoT, PLUi, PLH).</w:t>
            </w:r>
          </w:p>
        </w:tc>
        <w:tc>
          <w:tcPr>
            <w:tcW w:w="5917" w:type="dxa"/>
          </w:tcPr>
          <w:p w:rsidR="0002311A" w:rsidRPr="00652099" w:rsidRDefault="0002311A" w:rsidP="009E6A1B">
            <w:pPr>
              <w:pStyle w:val="Paragraphedeliste"/>
              <w:numPr>
                <w:ilvl w:val="0"/>
                <w:numId w:val="3"/>
              </w:numPr>
              <w:spacing w:before="100"/>
              <w:ind w:left="357" w:hanging="357"/>
              <w:contextualSpacing w:val="0"/>
              <w:jc w:val="both"/>
              <w:rPr>
                <w:color w:val="2E74B5" w:themeColor="accent1" w:themeShade="BF"/>
              </w:rPr>
            </w:pPr>
            <w:r w:rsidRPr="00652099">
              <w:rPr>
                <w:color w:val="2E74B5" w:themeColor="accent1" w:themeShade="BF"/>
              </w:rPr>
              <w:t xml:space="preserve">L’élaboration d’un PLUi est en cours sur le territoire communautaire  </w:t>
            </w:r>
          </w:p>
        </w:tc>
      </w:tr>
    </w:tbl>
    <w:p w:rsidR="0002311A" w:rsidRDefault="0002311A">
      <w:r>
        <w:br w:type="page"/>
      </w:r>
    </w:p>
    <w:tbl>
      <w:tblPr>
        <w:tblStyle w:val="Grilledutableau"/>
        <w:tblW w:w="0" w:type="auto"/>
        <w:tblLook w:val="04A0"/>
      </w:tblPr>
      <w:tblGrid>
        <w:gridCol w:w="2689"/>
        <w:gridCol w:w="6804"/>
        <w:gridCol w:w="5917"/>
      </w:tblGrid>
      <w:tr w:rsidR="00094129" w:rsidTr="009E6A1B">
        <w:tc>
          <w:tcPr>
            <w:tcW w:w="2689" w:type="dxa"/>
            <w:vAlign w:val="center"/>
          </w:tcPr>
          <w:p w:rsidR="00094129" w:rsidRPr="00C64021" w:rsidRDefault="00094129" w:rsidP="009E6A1B">
            <w:pPr>
              <w:jc w:val="center"/>
              <w:rPr>
                <w:b/>
              </w:rPr>
            </w:pPr>
            <w:r w:rsidRPr="00C64021">
              <w:rPr>
                <w:b/>
              </w:rPr>
              <w:lastRenderedPageBreak/>
              <w:t>Département (5/08/2019)</w:t>
            </w:r>
          </w:p>
        </w:tc>
        <w:tc>
          <w:tcPr>
            <w:tcW w:w="6804" w:type="dxa"/>
          </w:tcPr>
          <w:p w:rsidR="00094129" w:rsidRDefault="00094129" w:rsidP="009E6A1B">
            <w:pPr>
              <w:pStyle w:val="Paragraphedeliste"/>
              <w:numPr>
                <w:ilvl w:val="0"/>
                <w:numId w:val="3"/>
              </w:numPr>
              <w:spacing w:before="100"/>
              <w:ind w:left="357" w:hanging="357"/>
              <w:contextualSpacing w:val="0"/>
              <w:jc w:val="both"/>
            </w:pPr>
            <w:r>
              <w:t xml:space="preserve">Rappel des marges de recul applicables par rapport aux RD hors agglomération : 75 m (route à grande circulation), 35 m pour les habitations et 15 m pour les autres constructions (routes du réseau principal), 20 m pour les habitations et 15 m pour les autres constructions </w:t>
            </w:r>
            <w:r w:rsidR="00544D29">
              <w:t>(route du réseau secondaire). Pour l’ensemble des routes départementales hors agglomération, les constructions devront avoir un recul minimum de 10 m par rapport à la limite d’emprise du domaine public départemental.</w:t>
            </w:r>
          </w:p>
          <w:p w:rsidR="00094129" w:rsidRDefault="00544D29" w:rsidP="009E6A1B">
            <w:pPr>
              <w:pStyle w:val="Paragraphedeliste"/>
              <w:numPr>
                <w:ilvl w:val="0"/>
                <w:numId w:val="3"/>
              </w:numPr>
              <w:spacing w:before="100" w:after="100"/>
              <w:ind w:left="357" w:hanging="357"/>
              <w:contextualSpacing w:val="0"/>
              <w:jc w:val="both"/>
            </w:pPr>
            <w:r>
              <w:t xml:space="preserve">Afin de développer la pratique de co-voiturage à l’échelle locale, il conviendrait d’identifier les parkings utilisés à cet effet (Sainte  Marie de </w:t>
            </w:r>
            <w:proofErr w:type="spellStart"/>
            <w:r>
              <w:t>Ménez</w:t>
            </w:r>
            <w:proofErr w:type="spellEnd"/>
            <w:r>
              <w:t xml:space="preserve"> </w:t>
            </w:r>
            <w:proofErr w:type="spellStart"/>
            <w:r>
              <w:t>Hom</w:t>
            </w:r>
            <w:proofErr w:type="spellEnd"/>
            <w:r>
              <w:t xml:space="preserve"> et en agglomération) et les intégrer au dispositif départemental.</w:t>
            </w:r>
          </w:p>
          <w:p w:rsidR="00544D29" w:rsidRDefault="00544D29" w:rsidP="009E6A1B">
            <w:pPr>
              <w:pStyle w:val="Paragraphedeliste"/>
              <w:numPr>
                <w:ilvl w:val="0"/>
                <w:numId w:val="3"/>
              </w:numPr>
              <w:spacing w:before="100" w:after="100"/>
              <w:ind w:left="357" w:hanging="357"/>
              <w:contextualSpacing w:val="0"/>
              <w:jc w:val="both"/>
            </w:pPr>
            <w:r>
              <w:t>Il serait opportun de prévoir une continuité de l’ER4 en amont et en aval dans le cadre du projet départemental entre Châteaulin et la presqu’ile de Crozon</w:t>
            </w:r>
          </w:p>
        </w:tc>
        <w:tc>
          <w:tcPr>
            <w:tcW w:w="5917" w:type="dxa"/>
          </w:tcPr>
          <w:p w:rsidR="00094129" w:rsidRPr="00DE3C3B" w:rsidRDefault="00094129" w:rsidP="009E6A1B">
            <w:pPr>
              <w:pStyle w:val="Paragraphedeliste"/>
              <w:numPr>
                <w:ilvl w:val="0"/>
                <w:numId w:val="3"/>
              </w:numPr>
              <w:spacing w:before="100"/>
              <w:ind w:left="357" w:hanging="357"/>
              <w:contextualSpacing w:val="0"/>
              <w:jc w:val="both"/>
              <w:rPr>
                <w:color w:val="2E74B5" w:themeColor="accent1" w:themeShade="BF"/>
              </w:rPr>
            </w:pPr>
            <w:r w:rsidRPr="00DE3C3B">
              <w:rPr>
                <w:color w:val="2E74B5" w:themeColor="accent1" w:themeShade="BF"/>
              </w:rPr>
              <w:t>La marge de recul des constructions par rapport à la RD est respectée en application du règlement de voirie départementale.</w:t>
            </w:r>
          </w:p>
          <w:p w:rsidR="00094129" w:rsidRPr="00DE3C3B" w:rsidRDefault="00094129" w:rsidP="00544D29">
            <w:pPr>
              <w:pStyle w:val="Paragraphedeliste"/>
              <w:spacing w:before="100"/>
              <w:ind w:left="357"/>
              <w:contextualSpacing w:val="0"/>
              <w:jc w:val="both"/>
              <w:rPr>
                <w:color w:val="2E74B5" w:themeColor="accent1" w:themeShade="BF"/>
              </w:rPr>
            </w:pPr>
          </w:p>
          <w:p w:rsidR="00544D29" w:rsidRPr="00DE3C3B" w:rsidRDefault="00544D29" w:rsidP="00544D29">
            <w:pPr>
              <w:pStyle w:val="Paragraphedeliste"/>
              <w:spacing w:before="100"/>
              <w:ind w:left="357"/>
              <w:contextualSpacing w:val="0"/>
              <w:jc w:val="both"/>
              <w:rPr>
                <w:color w:val="2E74B5" w:themeColor="accent1" w:themeShade="BF"/>
              </w:rPr>
            </w:pPr>
          </w:p>
          <w:p w:rsidR="00544D29" w:rsidRPr="00DE3C3B" w:rsidRDefault="00544D29" w:rsidP="00544D29">
            <w:pPr>
              <w:pStyle w:val="Paragraphedeliste"/>
              <w:spacing w:before="100"/>
              <w:ind w:left="357"/>
              <w:contextualSpacing w:val="0"/>
              <w:jc w:val="both"/>
              <w:rPr>
                <w:color w:val="2E74B5" w:themeColor="accent1" w:themeShade="BF"/>
              </w:rPr>
            </w:pPr>
          </w:p>
          <w:p w:rsidR="00544D29" w:rsidRPr="00DE3C3B" w:rsidRDefault="00544D29" w:rsidP="00544D29">
            <w:pPr>
              <w:pStyle w:val="Paragraphedeliste"/>
              <w:spacing w:before="100"/>
              <w:ind w:left="357"/>
              <w:contextualSpacing w:val="0"/>
              <w:jc w:val="both"/>
              <w:rPr>
                <w:color w:val="2E74B5" w:themeColor="accent1" w:themeShade="BF"/>
              </w:rPr>
            </w:pPr>
          </w:p>
          <w:p w:rsidR="00544D29" w:rsidRPr="00DE3C3B" w:rsidRDefault="00544D29" w:rsidP="00544D29">
            <w:pPr>
              <w:pStyle w:val="Paragraphedeliste"/>
              <w:numPr>
                <w:ilvl w:val="0"/>
                <w:numId w:val="3"/>
              </w:numPr>
              <w:spacing w:after="100"/>
              <w:ind w:left="357" w:hanging="357"/>
              <w:contextualSpacing w:val="0"/>
              <w:jc w:val="both"/>
              <w:rPr>
                <w:color w:val="2E74B5" w:themeColor="accent1" w:themeShade="BF"/>
              </w:rPr>
            </w:pPr>
            <w:r w:rsidRPr="00DE3C3B">
              <w:rPr>
                <w:color w:val="2E74B5" w:themeColor="accent1" w:themeShade="BF"/>
              </w:rPr>
              <w:t>La modification n°1 du PLU ne porte pas sur ces éléments. Dans le cadre de l’élaboration du PLUi engagé sur le territoire communautaire, cette identification pourra être faite.</w:t>
            </w:r>
          </w:p>
          <w:p w:rsidR="00544D29" w:rsidRDefault="00544D29" w:rsidP="00544D29">
            <w:pPr>
              <w:pStyle w:val="Paragraphedeliste"/>
              <w:numPr>
                <w:ilvl w:val="0"/>
                <w:numId w:val="3"/>
              </w:numPr>
              <w:spacing w:after="100"/>
              <w:ind w:left="357" w:hanging="357"/>
              <w:contextualSpacing w:val="0"/>
              <w:jc w:val="both"/>
            </w:pPr>
            <w:r w:rsidRPr="00DE3C3B">
              <w:rPr>
                <w:color w:val="2E74B5" w:themeColor="accent1" w:themeShade="BF"/>
              </w:rPr>
              <w:t>Dans le cadre de l’élaboration du PLUi engagé sur le territoire communautaire, cette proposition pourra être étudiée</w:t>
            </w:r>
          </w:p>
        </w:tc>
      </w:tr>
      <w:tr w:rsidR="00400F1A" w:rsidTr="00057777">
        <w:tc>
          <w:tcPr>
            <w:tcW w:w="2689" w:type="dxa"/>
            <w:vAlign w:val="center"/>
          </w:tcPr>
          <w:p w:rsidR="00400F1A" w:rsidRPr="00C64021" w:rsidRDefault="00544D29" w:rsidP="00057777">
            <w:pPr>
              <w:jc w:val="center"/>
              <w:rPr>
                <w:b/>
              </w:rPr>
            </w:pPr>
            <w:r>
              <w:rPr>
                <w:b/>
              </w:rPr>
              <w:t>CDPENAF (17/12/2019)</w:t>
            </w:r>
          </w:p>
        </w:tc>
        <w:tc>
          <w:tcPr>
            <w:tcW w:w="6804" w:type="dxa"/>
          </w:tcPr>
          <w:p w:rsidR="00910CF8" w:rsidRDefault="00910CF8" w:rsidP="00910CF8">
            <w:pPr>
              <w:spacing w:before="100" w:after="100"/>
              <w:jc w:val="both"/>
            </w:pPr>
            <w:r>
              <w:t xml:space="preserve">Avis favorable sous réserves </w:t>
            </w:r>
          </w:p>
          <w:p w:rsidR="00C64021" w:rsidRDefault="00544D29" w:rsidP="00C64021">
            <w:pPr>
              <w:pStyle w:val="Paragraphedeliste"/>
              <w:numPr>
                <w:ilvl w:val="0"/>
                <w:numId w:val="4"/>
              </w:numPr>
              <w:spacing w:before="100" w:after="100"/>
              <w:ind w:left="357" w:hanging="357"/>
              <w:contextualSpacing w:val="0"/>
              <w:jc w:val="both"/>
            </w:pPr>
            <w:r>
              <w:t xml:space="preserve">La proposition de </w:t>
            </w:r>
            <w:r w:rsidR="00367B52">
              <w:t>modification du règlement écrit est cohérente à condition :</w:t>
            </w:r>
          </w:p>
          <w:p w:rsidR="00367B52" w:rsidRPr="00367B52" w:rsidRDefault="00367B52" w:rsidP="00367B52">
            <w:pPr>
              <w:pStyle w:val="Paragraphedeliste"/>
              <w:numPr>
                <w:ilvl w:val="1"/>
                <w:numId w:val="4"/>
              </w:numPr>
              <w:spacing w:before="100" w:after="100"/>
              <w:contextualSpacing w:val="0"/>
              <w:jc w:val="both"/>
            </w:pPr>
            <w:r>
              <w:t xml:space="preserve">Supprimer la phrase </w:t>
            </w:r>
            <w:r w:rsidRPr="00367B52">
              <w:rPr>
                <w:i/>
              </w:rPr>
              <w:t>« l’extension autorisée sera d’autant plus importante que le bâtiment d’origine est petit, ceci afin de permettre une habitabilité correcte »</w:t>
            </w:r>
          </w:p>
          <w:p w:rsidR="00367B52" w:rsidRDefault="00367B52" w:rsidP="00367B52">
            <w:pPr>
              <w:pStyle w:val="Paragraphedeliste"/>
              <w:numPr>
                <w:ilvl w:val="1"/>
                <w:numId w:val="4"/>
              </w:numPr>
              <w:spacing w:before="100" w:after="100"/>
              <w:contextualSpacing w:val="0"/>
              <w:jc w:val="both"/>
            </w:pPr>
            <w:r>
              <w:t>Les extensions des habitations existantes seront autorisées uniquement pour les bâtiments de 60 m</w:t>
            </w:r>
            <w:r w:rsidRPr="00367B52">
              <w:rPr>
                <w:vertAlign w:val="superscript"/>
              </w:rPr>
              <w:t>2</w:t>
            </w:r>
            <w:r>
              <w:t xml:space="preserve"> de surface minimale de plancher</w:t>
            </w:r>
          </w:p>
          <w:p w:rsidR="00367B52" w:rsidRDefault="00367B52" w:rsidP="00367B52">
            <w:pPr>
              <w:pStyle w:val="Paragraphedeliste"/>
              <w:numPr>
                <w:ilvl w:val="1"/>
                <w:numId w:val="4"/>
              </w:numPr>
              <w:spacing w:before="100" w:after="100"/>
              <w:contextualSpacing w:val="0"/>
              <w:jc w:val="both"/>
            </w:pPr>
            <w:r>
              <w:t xml:space="preserve">Dans le tableau les termes </w:t>
            </w:r>
            <w:r w:rsidRPr="00367B52">
              <w:rPr>
                <w:i/>
              </w:rPr>
              <w:t xml:space="preserve">« emprise au sol maximale de l’extension » </w:t>
            </w:r>
            <w:r>
              <w:t xml:space="preserve">sera remplacé par </w:t>
            </w:r>
            <w:r w:rsidRPr="00367B52">
              <w:rPr>
                <w:i/>
              </w:rPr>
              <w:t>« surface de plancher maximale de l’extension »</w:t>
            </w:r>
            <w:r>
              <w:t>. Le pourcentage d’extension autorisée ne pourra excéder 30%.</w:t>
            </w:r>
          </w:p>
          <w:p w:rsidR="00367B52" w:rsidRDefault="00367B52" w:rsidP="00367B52">
            <w:pPr>
              <w:pStyle w:val="Paragraphedeliste"/>
              <w:numPr>
                <w:ilvl w:val="1"/>
                <w:numId w:val="4"/>
              </w:numPr>
              <w:spacing w:before="100" w:after="100"/>
              <w:contextualSpacing w:val="0"/>
              <w:jc w:val="both"/>
            </w:pPr>
            <w:r>
              <w:t>La surface de plancher totale de l’habitation après travaux n’excédera pas 250 m</w:t>
            </w:r>
            <w:r w:rsidRPr="00367B52">
              <w:rPr>
                <w:vertAlign w:val="superscript"/>
              </w:rPr>
              <w:t>2</w:t>
            </w:r>
            <w:r>
              <w:rPr>
                <w:vertAlign w:val="superscript"/>
              </w:rPr>
              <w:t xml:space="preserve"> </w:t>
            </w:r>
            <w:r>
              <w:t>(existant + extension)</w:t>
            </w:r>
          </w:p>
          <w:p w:rsidR="00367B52" w:rsidRDefault="00DE3C3B" w:rsidP="00367B52">
            <w:pPr>
              <w:pStyle w:val="Paragraphedeliste"/>
              <w:numPr>
                <w:ilvl w:val="1"/>
                <w:numId w:val="4"/>
              </w:numPr>
              <w:spacing w:before="100" w:after="100"/>
              <w:contextualSpacing w:val="0"/>
              <w:jc w:val="both"/>
            </w:pPr>
            <w:r>
              <w:t xml:space="preserve">La surface </w:t>
            </w:r>
            <w:proofErr w:type="gramStart"/>
            <w:r>
              <w:t>plancher</w:t>
            </w:r>
            <w:proofErr w:type="gramEnd"/>
            <w:r w:rsidR="00367B52">
              <w:t xml:space="preserve"> et l’emprise au sol des annexes ne devront pas dépasser 30 m</w:t>
            </w:r>
            <w:r w:rsidR="00367B52">
              <w:rPr>
                <w:vertAlign w:val="superscript"/>
              </w:rPr>
              <w:t>2</w:t>
            </w:r>
            <w:r w:rsidR="00367B52">
              <w:t>.</w:t>
            </w:r>
          </w:p>
          <w:p w:rsidR="00367B52" w:rsidRDefault="00367B52" w:rsidP="00367B52">
            <w:pPr>
              <w:pStyle w:val="Paragraphedeliste"/>
              <w:numPr>
                <w:ilvl w:val="1"/>
                <w:numId w:val="4"/>
              </w:numPr>
              <w:spacing w:before="100" w:after="100"/>
              <w:contextualSpacing w:val="0"/>
              <w:jc w:val="both"/>
            </w:pPr>
            <w:r>
              <w:t>La hauteur des annexes ne devra pas excéder 4 m.</w:t>
            </w:r>
          </w:p>
          <w:p w:rsidR="00367B52" w:rsidRDefault="00367B52" w:rsidP="00367B52">
            <w:pPr>
              <w:pStyle w:val="Paragraphedeliste"/>
              <w:numPr>
                <w:ilvl w:val="0"/>
                <w:numId w:val="4"/>
              </w:numPr>
              <w:spacing w:before="100" w:after="100"/>
              <w:jc w:val="both"/>
            </w:pPr>
            <w:r>
              <w:t>Les modifications que la collectivité souhaite apporter au règlement s’appliquant dans les STECAL (</w:t>
            </w:r>
            <w:proofErr w:type="spellStart"/>
            <w:r>
              <w:t>Nh</w:t>
            </w:r>
            <w:proofErr w:type="spellEnd"/>
            <w:r>
              <w:t xml:space="preserve"> et Ah),</w:t>
            </w:r>
            <w:r w:rsidR="00910CF8">
              <w:t xml:space="preserve"> </w:t>
            </w:r>
            <w:r>
              <w:t>délimités antérieurement à la loi ALUR, sont identiques à celles proposés pour la zone A à l’exception de celles se rapportant au logement de fonction</w:t>
            </w:r>
          </w:p>
        </w:tc>
        <w:tc>
          <w:tcPr>
            <w:tcW w:w="5917" w:type="dxa"/>
          </w:tcPr>
          <w:p w:rsidR="004A55A7" w:rsidRPr="00DE3C3B" w:rsidRDefault="004A55A7" w:rsidP="004A55A7">
            <w:pPr>
              <w:spacing w:before="100" w:after="100"/>
              <w:jc w:val="both"/>
              <w:rPr>
                <w:color w:val="2E74B5" w:themeColor="accent1" w:themeShade="BF"/>
              </w:rPr>
            </w:pPr>
            <w:r w:rsidRPr="00DE3C3B">
              <w:rPr>
                <w:color w:val="2E74B5" w:themeColor="accent1" w:themeShade="BF"/>
              </w:rPr>
              <w:t xml:space="preserve">La doctrine départementale de la CDPENAF ci-après sera reprise et étendue aux zones Ah et </w:t>
            </w:r>
            <w:proofErr w:type="spellStart"/>
            <w:r w:rsidRPr="00DE3C3B">
              <w:rPr>
                <w:color w:val="2E74B5" w:themeColor="accent1" w:themeShade="BF"/>
              </w:rPr>
              <w:t>Nh</w:t>
            </w:r>
            <w:proofErr w:type="spellEnd"/>
            <w:r w:rsidRPr="00DE3C3B">
              <w:rPr>
                <w:color w:val="2E74B5" w:themeColor="accent1" w:themeShade="BF"/>
              </w:rPr>
              <w:t xml:space="preserve"> délimitées antérieurement à la loi ALUR.</w:t>
            </w:r>
          </w:p>
          <w:p w:rsidR="00FF7358" w:rsidRPr="00DE3C3B" w:rsidRDefault="004A55A7" w:rsidP="00FF7358">
            <w:pPr>
              <w:pStyle w:val="Paragraphedeliste"/>
              <w:numPr>
                <w:ilvl w:val="0"/>
                <w:numId w:val="9"/>
              </w:numPr>
              <w:spacing w:before="100" w:after="100"/>
              <w:jc w:val="both"/>
              <w:rPr>
                <w:color w:val="2E74B5" w:themeColor="accent1" w:themeShade="BF"/>
              </w:rPr>
            </w:pPr>
            <w:r w:rsidRPr="00DE3C3B">
              <w:rPr>
                <w:color w:val="2E74B5" w:themeColor="accent1" w:themeShade="BF"/>
              </w:rPr>
              <w:t>L'extension en continuité des habitations existantes de plus de 60</w:t>
            </w:r>
            <w:r w:rsidR="00FF7358" w:rsidRPr="00DE3C3B">
              <w:rPr>
                <w:color w:val="2E74B5" w:themeColor="accent1" w:themeShade="BF"/>
              </w:rPr>
              <w:t xml:space="preserve"> </w:t>
            </w:r>
            <w:r w:rsidRPr="00DE3C3B">
              <w:rPr>
                <w:color w:val="2E74B5" w:themeColor="accent1" w:themeShade="BF"/>
              </w:rPr>
              <w:t>m</w:t>
            </w:r>
            <w:r w:rsidRPr="00DE3C3B">
              <w:rPr>
                <w:color w:val="2E74B5" w:themeColor="accent1" w:themeShade="BF"/>
                <w:vertAlign w:val="superscript"/>
              </w:rPr>
              <w:t>2</w:t>
            </w:r>
            <w:r w:rsidRPr="00DE3C3B">
              <w:rPr>
                <w:color w:val="2E74B5" w:themeColor="accent1" w:themeShade="BF"/>
              </w:rPr>
              <w:t xml:space="preserve"> de surface minimale de plancher, en une seule fois, sans</w:t>
            </w:r>
            <w:r w:rsidR="00FF7358" w:rsidRPr="00DE3C3B">
              <w:rPr>
                <w:color w:val="2E74B5" w:themeColor="accent1" w:themeShade="BF"/>
              </w:rPr>
              <w:br/>
              <w:t xml:space="preserve"> </w:t>
            </w:r>
            <w:r w:rsidRPr="00DE3C3B">
              <w:rPr>
                <w:color w:val="2E74B5" w:themeColor="accent1" w:themeShade="BF"/>
              </w:rPr>
              <w:t xml:space="preserve">création de logements supplémentaires.  </w:t>
            </w:r>
          </w:p>
          <w:p w:rsidR="00FF7358" w:rsidRPr="00DE3C3B" w:rsidRDefault="004A55A7" w:rsidP="00FF7358">
            <w:pPr>
              <w:spacing w:before="100" w:after="100"/>
              <w:ind w:left="360"/>
              <w:jc w:val="both"/>
              <w:rPr>
                <w:color w:val="2E74B5" w:themeColor="accent1" w:themeShade="BF"/>
              </w:rPr>
            </w:pPr>
            <w:r w:rsidRPr="00DE3C3B">
              <w:rPr>
                <w:color w:val="2E74B5" w:themeColor="accent1" w:themeShade="BF"/>
              </w:rPr>
              <w:t>Le pourcentage d’extension autorisée ne pourra pas excéder 30% de la surface de plancher existante au moment de l’approbation du PLU ou 50 m</w:t>
            </w:r>
            <w:r w:rsidRPr="00DE3C3B">
              <w:rPr>
                <w:color w:val="2E74B5" w:themeColor="accent1" w:themeShade="BF"/>
                <w:vertAlign w:val="superscript"/>
              </w:rPr>
              <w:t>2</w:t>
            </w:r>
            <w:r w:rsidRPr="00DE3C3B">
              <w:rPr>
                <w:color w:val="2E74B5" w:themeColor="accent1" w:themeShade="BF"/>
              </w:rPr>
              <w:t xml:space="preserve"> de surface de plancher nouvellement créé</w:t>
            </w:r>
            <w:r w:rsidR="00FF7358" w:rsidRPr="00DE3C3B">
              <w:rPr>
                <w:color w:val="2E74B5" w:themeColor="accent1" w:themeShade="BF"/>
              </w:rPr>
              <w:t>e</w:t>
            </w:r>
            <w:r w:rsidRPr="00DE3C3B">
              <w:rPr>
                <w:color w:val="2E74B5" w:themeColor="accent1" w:themeShade="BF"/>
              </w:rPr>
              <w:t>.</w:t>
            </w:r>
            <w:r w:rsidR="00FF7358" w:rsidRPr="00DE3C3B">
              <w:rPr>
                <w:color w:val="2E74B5" w:themeColor="accent1" w:themeShade="BF"/>
              </w:rPr>
              <w:t xml:space="preserve"> </w:t>
            </w:r>
          </w:p>
          <w:p w:rsidR="00431389" w:rsidRPr="00DE3C3B" w:rsidRDefault="004A55A7" w:rsidP="00FF7358">
            <w:pPr>
              <w:spacing w:before="100" w:after="100"/>
              <w:ind w:left="360"/>
              <w:jc w:val="both"/>
              <w:rPr>
                <w:color w:val="2E74B5" w:themeColor="accent1" w:themeShade="BF"/>
              </w:rPr>
            </w:pPr>
            <w:r w:rsidRPr="00DE3C3B">
              <w:rPr>
                <w:color w:val="2E74B5" w:themeColor="accent1" w:themeShade="BF"/>
              </w:rPr>
              <w:t>La surface de plancher totale de l’habitation après travaux n’excédera pas 250 m</w:t>
            </w:r>
            <w:r w:rsidRPr="00DE3C3B">
              <w:rPr>
                <w:color w:val="2E74B5" w:themeColor="accent1" w:themeShade="BF"/>
                <w:vertAlign w:val="superscript"/>
              </w:rPr>
              <w:t>2</w:t>
            </w:r>
            <w:r w:rsidRPr="00DE3C3B">
              <w:rPr>
                <w:color w:val="2E74B5" w:themeColor="accent1" w:themeShade="BF"/>
              </w:rPr>
              <w:t xml:space="preserve"> (existant + extension)</w:t>
            </w:r>
          </w:p>
          <w:p w:rsidR="00431389" w:rsidRPr="00DE3C3B" w:rsidRDefault="00431389" w:rsidP="00FF7358">
            <w:pPr>
              <w:spacing w:after="111"/>
              <w:ind w:left="360"/>
              <w:jc w:val="both"/>
              <w:rPr>
                <w:color w:val="2E74B5" w:themeColor="accent1" w:themeShade="BF"/>
                <w:u w:color="000000" w:themeColor="text1"/>
              </w:rPr>
            </w:pPr>
            <w:r w:rsidRPr="00DE3C3B">
              <w:rPr>
                <w:color w:val="2E74B5" w:themeColor="accent1" w:themeShade="BF"/>
                <w:u w:color="000000" w:themeColor="text1"/>
              </w:rPr>
              <w:t>Les règles ci-dessus ne s’appliquent pas si l’extension est réalisée dans des bâtiments existants</w:t>
            </w:r>
          </w:p>
          <w:p w:rsidR="00431389" w:rsidRPr="00DE3C3B" w:rsidRDefault="00431389" w:rsidP="00CA51FB">
            <w:pPr>
              <w:pStyle w:val="Paragraphedeliste"/>
              <w:spacing w:before="100"/>
              <w:ind w:left="360"/>
              <w:jc w:val="both"/>
            </w:pPr>
          </w:p>
          <w:p w:rsidR="00FF7358" w:rsidRPr="00FF7358" w:rsidRDefault="00FF7358" w:rsidP="00FF7358">
            <w:pPr>
              <w:pStyle w:val="Paragraphedeliste"/>
              <w:numPr>
                <w:ilvl w:val="0"/>
                <w:numId w:val="9"/>
              </w:numPr>
              <w:spacing w:before="100"/>
              <w:jc w:val="both"/>
              <w:rPr>
                <w:sz w:val="20"/>
                <w:szCs w:val="20"/>
              </w:rPr>
            </w:pPr>
            <w:r w:rsidRPr="00DE3C3B">
              <w:rPr>
                <w:color w:val="2E74B5" w:themeColor="accent1" w:themeShade="BF"/>
              </w:rPr>
              <w:t xml:space="preserve">La surface </w:t>
            </w:r>
            <w:proofErr w:type="gramStart"/>
            <w:r w:rsidRPr="00DE3C3B">
              <w:rPr>
                <w:color w:val="2E74B5" w:themeColor="accent1" w:themeShade="BF"/>
              </w:rPr>
              <w:t>plancher</w:t>
            </w:r>
            <w:proofErr w:type="gramEnd"/>
            <w:r w:rsidRPr="00DE3C3B">
              <w:rPr>
                <w:color w:val="2E74B5" w:themeColor="accent1" w:themeShade="BF"/>
              </w:rPr>
              <w:t xml:space="preserve"> et l’emprise au sol des annexes ne devra pas excéder 30 m</w:t>
            </w:r>
            <w:r w:rsidRPr="00DE3C3B">
              <w:rPr>
                <w:color w:val="2E74B5" w:themeColor="accent1" w:themeShade="BF"/>
                <w:vertAlign w:val="superscript"/>
              </w:rPr>
              <w:t>2</w:t>
            </w:r>
            <w:r w:rsidRPr="00DE3C3B">
              <w:rPr>
                <w:color w:val="2E74B5" w:themeColor="accent1" w:themeShade="BF"/>
              </w:rPr>
              <w:t>.</w:t>
            </w:r>
          </w:p>
        </w:tc>
      </w:tr>
      <w:tr w:rsidR="007768FF" w:rsidTr="00057777">
        <w:tc>
          <w:tcPr>
            <w:tcW w:w="2689" w:type="dxa"/>
            <w:vAlign w:val="center"/>
          </w:tcPr>
          <w:p w:rsidR="007768FF" w:rsidRDefault="007768FF" w:rsidP="00057777">
            <w:pPr>
              <w:jc w:val="center"/>
              <w:rPr>
                <w:b/>
              </w:rPr>
            </w:pPr>
            <w:r>
              <w:rPr>
                <w:b/>
              </w:rPr>
              <w:t>MRAe (17/01/2020)</w:t>
            </w:r>
          </w:p>
        </w:tc>
        <w:tc>
          <w:tcPr>
            <w:tcW w:w="6804" w:type="dxa"/>
          </w:tcPr>
          <w:p w:rsidR="007768FF" w:rsidRPr="00DE3C3B" w:rsidRDefault="007768FF" w:rsidP="00910CF8">
            <w:pPr>
              <w:spacing w:before="100" w:after="100"/>
              <w:jc w:val="both"/>
            </w:pPr>
            <w:r w:rsidRPr="00DE3C3B">
              <w:t>la MRAe informe qu’elle n’a pas pu étudier le dossier dans le délai de trois mois qui lui était imparti, en conséquence de quoi elle est réputée n’avoir aucune observation à formuler</w:t>
            </w:r>
          </w:p>
        </w:tc>
        <w:tc>
          <w:tcPr>
            <w:tcW w:w="5917" w:type="dxa"/>
          </w:tcPr>
          <w:p w:rsidR="007768FF" w:rsidRDefault="007768FF" w:rsidP="00CA51FB">
            <w:pPr>
              <w:pStyle w:val="Paragraphedeliste"/>
              <w:spacing w:before="100"/>
              <w:ind w:left="360"/>
              <w:jc w:val="both"/>
            </w:pPr>
          </w:p>
        </w:tc>
      </w:tr>
    </w:tbl>
    <w:p w:rsidR="00400F1A" w:rsidRDefault="00400F1A">
      <w:bookmarkStart w:id="0" w:name="_GoBack"/>
      <w:bookmarkEnd w:id="0"/>
    </w:p>
    <w:sectPr w:rsidR="00400F1A" w:rsidSect="00400F1A">
      <w:headerReference w:type="default" r:id="rId9"/>
      <w:pgSz w:w="16838" w:h="11906" w:orient="landscape"/>
      <w:pgMar w:top="1134" w:right="567"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6832" w:rsidRDefault="00DE6832" w:rsidP="00400F1A">
      <w:pPr>
        <w:spacing w:after="0" w:line="240" w:lineRule="auto"/>
      </w:pPr>
      <w:r>
        <w:separator/>
      </w:r>
    </w:p>
  </w:endnote>
  <w:endnote w:type="continuationSeparator" w:id="0">
    <w:p w:rsidR="00DE6832" w:rsidRDefault="00DE6832" w:rsidP="00400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6832" w:rsidRDefault="00DE6832" w:rsidP="00400F1A">
      <w:pPr>
        <w:spacing w:after="0" w:line="240" w:lineRule="auto"/>
      </w:pPr>
      <w:r>
        <w:separator/>
      </w:r>
    </w:p>
  </w:footnote>
  <w:footnote w:type="continuationSeparator" w:id="0">
    <w:p w:rsidR="00DE6832" w:rsidRDefault="00DE6832" w:rsidP="00400F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F1A" w:rsidRPr="00B12558" w:rsidRDefault="00400F1A" w:rsidP="00400F1A">
    <w:pPr>
      <w:pStyle w:val="En-tte"/>
      <w:pBdr>
        <w:bottom w:val="single" w:sz="4" w:space="1" w:color="auto"/>
      </w:pBdr>
      <w:rPr>
        <w:color w:val="000000" w:themeColor="text1"/>
      </w:rPr>
    </w:pPr>
    <w:r w:rsidRPr="00B12558">
      <w:rPr>
        <w:color w:val="000000" w:themeColor="text1"/>
        <w:spacing w:val="60"/>
        <w:sz w:val="18"/>
        <w:szCs w:val="18"/>
      </w:rPr>
      <w:t>Commun</w:t>
    </w:r>
    <w:r>
      <w:rPr>
        <w:color w:val="000000" w:themeColor="text1"/>
        <w:spacing w:val="60"/>
        <w:sz w:val="18"/>
        <w:szCs w:val="18"/>
      </w:rPr>
      <w:t xml:space="preserve">e de </w:t>
    </w:r>
    <w:proofErr w:type="spellStart"/>
    <w:r w:rsidR="00106FAB">
      <w:rPr>
        <w:color w:val="000000" w:themeColor="text1"/>
        <w:spacing w:val="60"/>
        <w:sz w:val="18"/>
        <w:szCs w:val="18"/>
      </w:rPr>
      <w:t>Plomodiern</w:t>
    </w:r>
    <w:proofErr w:type="spellEnd"/>
    <w:r>
      <w:rPr>
        <w:color w:val="000000" w:themeColor="text1"/>
        <w:spacing w:val="60"/>
        <w:sz w:val="18"/>
        <w:szCs w:val="18"/>
      </w:rPr>
      <w:t xml:space="preserve">             </w:t>
    </w:r>
    <w:r w:rsidRPr="00B12558">
      <w:rPr>
        <w:color w:val="000000" w:themeColor="text1"/>
        <w:spacing w:val="60"/>
        <w:sz w:val="18"/>
        <w:szCs w:val="18"/>
      </w:rPr>
      <w:t>Modification</w:t>
    </w:r>
    <w:r>
      <w:rPr>
        <w:color w:val="000000" w:themeColor="text1"/>
        <w:spacing w:val="60"/>
        <w:sz w:val="18"/>
        <w:szCs w:val="18"/>
      </w:rPr>
      <w:t xml:space="preserve"> n°1 du PLU          Bilan </w:t>
    </w:r>
    <w:r w:rsidR="00BA3BD2">
      <w:rPr>
        <w:color w:val="000000" w:themeColor="text1"/>
        <w:spacing w:val="60"/>
        <w:sz w:val="18"/>
        <w:szCs w:val="18"/>
      </w:rPr>
      <w:t>avis des</w:t>
    </w:r>
    <w:r>
      <w:rPr>
        <w:color w:val="000000" w:themeColor="text1"/>
        <w:spacing w:val="60"/>
        <w:sz w:val="18"/>
        <w:szCs w:val="18"/>
      </w:rPr>
      <w:t xml:space="preserve"> PPA et réponses du maître d’ouvrage</w:t>
    </w:r>
    <w:r w:rsidRPr="00B12558">
      <w:rPr>
        <w:color w:val="000000" w:themeColor="text1"/>
        <w:spacing w:val="60"/>
        <w:sz w:val="18"/>
        <w:szCs w:val="18"/>
      </w:rPr>
      <w:t xml:space="preserve">                                                                                              </w:t>
    </w:r>
  </w:p>
  <w:p w:rsidR="00400F1A" w:rsidRDefault="00400F1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30633"/>
    <w:multiLevelType w:val="hybridMultilevel"/>
    <w:tmpl w:val="CDA49F04"/>
    <w:lvl w:ilvl="0" w:tplc="58D2C1E2">
      <w:start w:val="1"/>
      <w:numFmt w:val="bullet"/>
      <w:lvlText w:val=""/>
      <w:lvlJc w:val="left"/>
      <w:pPr>
        <w:ind w:left="1231"/>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C000D">
      <w:start w:val="1"/>
      <w:numFmt w:val="bullet"/>
      <w:lvlText w:val=""/>
      <w:lvlJc w:val="left"/>
      <w:pPr>
        <w:ind w:left="2153"/>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2" w:tplc="5F62AFF0">
      <w:start w:val="1"/>
      <w:numFmt w:val="bullet"/>
      <w:lvlText w:val="▪"/>
      <w:lvlJc w:val="left"/>
      <w:pPr>
        <w:ind w:left="28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932271A">
      <w:start w:val="1"/>
      <w:numFmt w:val="bullet"/>
      <w:lvlText w:val="•"/>
      <w:lvlJc w:val="left"/>
      <w:pPr>
        <w:ind w:left="35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A7A6B0E">
      <w:start w:val="1"/>
      <w:numFmt w:val="bullet"/>
      <w:lvlText w:val="o"/>
      <w:lvlJc w:val="left"/>
      <w:pPr>
        <w:ind w:left="431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79E0E6AC">
      <w:start w:val="1"/>
      <w:numFmt w:val="bullet"/>
      <w:lvlText w:val="▪"/>
      <w:lvlJc w:val="left"/>
      <w:pPr>
        <w:ind w:left="503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5060110">
      <w:start w:val="1"/>
      <w:numFmt w:val="bullet"/>
      <w:lvlText w:val="•"/>
      <w:lvlJc w:val="left"/>
      <w:pPr>
        <w:ind w:left="575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EE0D6CC">
      <w:start w:val="1"/>
      <w:numFmt w:val="bullet"/>
      <w:lvlText w:val="o"/>
      <w:lvlJc w:val="left"/>
      <w:pPr>
        <w:ind w:left="647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F4A044A">
      <w:start w:val="1"/>
      <w:numFmt w:val="bullet"/>
      <w:lvlText w:val="▪"/>
      <w:lvlJc w:val="left"/>
      <w:pPr>
        <w:ind w:left="719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nsid w:val="12C30075"/>
    <w:multiLevelType w:val="hybridMultilevel"/>
    <w:tmpl w:val="1B560DE0"/>
    <w:lvl w:ilvl="0" w:tplc="393C3A26">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13CA569D"/>
    <w:multiLevelType w:val="hybridMultilevel"/>
    <w:tmpl w:val="26807624"/>
    <w:lvl w:ilvl="0" w:tplc="3968B68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DAB4E61"/>
    <w:multiLevelType w:val="hybridMultilevel"/>
    <w:tmpl w:val="98A8D1EA"/>
    <w:lvl w:ilvl="0" w:tplc="D702F1D2">
      <w:start w:val="12"/>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032790"/>
    <w:multiLevelType w:val="hybridMultilevel"/>
    <w:tmpl w:val="B8567112"/>
    <w:lvl w:ilvl="0" w:tplc="393C3A26">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nsid w:val="510A2E64"/>
    <w:multiLevelType w:val="multilevel"/>
    <w:tmpl w:val="0472EA4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1004"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2001"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55F02510"/>
    <w:multiLevelType w:val="hybridMultilevel"/>
    <w:tmpl w:val="45CC0634"/>
    <w:lvl w:ilvl="0" w:tplc="56F4470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70BB182A"/>
    <w:multiLevelType w:val="hybridMultilevel"/>
    <w:tmpl w:val="60E6ABA2"/>
    <w:lvl w:ilvl="0" w:tplc="393C3A26">
      <w:start w:val="1"/>
      <w:numFmt w:val="bullet"/>
      <w:lvlText w:val="‐"/>
      <w:lvlJc w:val="left"/>
      <w:pPr>
        <w:ind w:left="360" w:hanging="360"/>
      </w:pPr>
      <w:rPr>
        <w:rFonts w:ascii="Calibri" w:hAnsi="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7F2E4A25"/>
    <w:multiLevelType w:val="multilevel"/>
    <w:tmpl w:val="57FCE3C0"/>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8"/>
  </w:num>
  <w:num w:numId="3">
    <w:abstractNumId w:val="4"/>
  </w:num>
  <w:num w:numId="4">
    <w:abstractNumId w:val="7"/>
  </w:num>
  <w:num w:numId="5">
    <w:abstractNumId w:val="0"/>
  </w:num>
  <w:num w:numId="6">
    <w:abstractNumId w:val="2"/>
  </w:num>
  <w:num w:numId="7">
    <w:abstractNumId w:val="3"/>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5207B0"/>
    <w:rsid w:val="0002311A"/>
    <w:rsid w:val="00057777"/>
    <w:rsid w:val="00094129"/>
    <w:rsid w:val="00106FAB"/>
    <w:rsid w:val="00140431"/>
    <w:rsid w:val="00367B52"/>
    <w:rsid w:val="003868B5"/>
    <w:rsid w:val="00400F1A"/>
    <w:rsid w:val="00416ECB"/>
    <w:rsid w:val="00431389"/>
    <w:rsid w:val="0044731B"/>
    <w:rsid w:val="004931D5"/>
    <w:rsid w:val="004A55A7"/>
    <w:rsid w:val="004D39F9"/>
    <w:rsid w:val="004D6832"/>
    <w:rsid w:val="004E533B"/>
    <w:rsid w:val="005207B0"/>
    <w:rsid w:val="00544D29"/>
    <w:rsid w:val="00652099"/>
    <w:rsid w:val="00725867"/>
    <w:rsid w:val="007768FF"/>
    <w:rsid w:val="0087637B"/>
    <w:rsid w:val="00910CF8"/>
    <w:rsid w:val="00937E63"/>
    <w:rsid w:val="00A829DE"/>
    <w:rsid w:val="00BA1338"/>
    <w:rsid w:val="00BA3BD2"/>
    <w:rsid w:val="00BF4E1F"/>
    <w:rsid w:val="00C64021"/>
    <w:rsid w:val="00CA51FB"/>
    <w:rsid w:val="00CE64D5"/>
    <w:rsid w:val="00D83D9A"/>
    <w:rsid w:val="00DE3C3B"/>
    <w:rsid w:val="00DE6832"/>
    <w:rsid w:val="00EB75F5"/>
    <w:rsid w:val="00FF735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9F9"/>
  </w:style>
  <w:style w:type="paragraph" w:styleId="Titre2">
    <w:name w:val="heading 2"/>
    <w:basedOn w:val="Normal"/>
    <w:next w:val="Normal"/>
    <w:link w:val="Titre2Car"/>
    <w:uiPriority w:val="99"/>
    <w:qFormat/>
    <w:rsid w:val="00D83D9A"/>
    <w:pPr>
      <w:keepNext/>
      <w:keepLines/>
      <w:numPr>
        <w:ilvl w:val="1"/>
        <w:numId w:val="2"/>
      </w:numPr>
      <w:shd w:val="clear" w:color="auto" w:fill="FFFFFF" w:themeFill="background1"/>
      <w:spacing w:before="200" w:after="0" w:line="276" w:lineRule="auto"/>
      <w:ind w:left="578" w:hanging="578"/>
      <w:jc w:val="both"/>
      <w:outlineLvl w:val="1"/>
    </w:pPr>
    <w:rPr>
      <w:rFonts w:eastAsia="Times New Roman" w:cs="Arial"/>
      <w:b/>
      <w:bCs/>
      <w:sz w:val="24"/>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rsid w:val="00D83D9A"/>
    <w:rPr>
      <w:rFonts w:eastAsia="Times New Roman" w:cs="Arial"/>
      <w:b/>
      <w:bCs/>
      <w:sz w:val="24"/>
      <w:szCs w:val="26"/>
      <w:u w:val="single"/>
      <w:shd w:val="clear" w:color="auto" w:fill="FFFFFF" w:themeFill="background1"/>
    </w:rPr>
  </w:style>
  <w:style w:type="paragraph" w:styleId="En-tte">
    <w:name w:val="header"/>
    <w:basedOn w:val="Normal"/>
    <w:link w:val="En-tteCar"/>
    <w:uiPriority w:val="99"/>
    <w:unhideWhenUsed/>
    <w:rsid w:val="00400F1A"/>
    <w:pPr>
      <w:tabs>
        <w:tab w:val="center" w:pos="4536"/>
        <w:tab w:val="right" w:pos="9072"/>
      </w:tabs>
      <w:spacing w:after="0" w:line="240" w:lineRule="auto"/>
    </w:pPr>
  </w:style>
  <w:style w:type="character" w:customStyle="1" w:styleId="En-tteCar">
    <w:name w:val="En-tête Car"/>
    <w:basedOn w:val="Policepardfaut"/>
    <w:link w:val="En-tte"/>
    <w:uiPriority w:val="99"/>
    <w:rsid w:val="00400F1A"/>
  </w:style>
  <w:style w:type="paragraph" w:styleId="Pieddepage">
    <w:name w:val="footer"/>
    <w:basedOn w:val="Normal"/>
    <w:link w:val="PieddepageCar"/>
    <w:uiPriority w:val="99"/>
    <w:unhideWhenUsed/>
    <w:rsid w:val="00400F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0F1A"/>
  </w:style>
  <w:style w:type="table" w:styleId="Grilledutableau">
    <w:name w:val="Table Grid"/>
    <w:basedOn w:val="TableauNormal"/>
    <w:uiPriority w:val="39"/>
    <w:rsid w:val="00400F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44731B"/>
    <w:pPr>
      <w:ind w:left="720"/>
      <w:contextualSpacing/>
    </w:pPr>
  </w:style>
  <w:style w:type="paragraph" w:customStyle="1" w:styleId="TEXTEARTICLE">
    <w:name w:val="TEXTE ARTICLE"/>
    <w:basedOn w:val="Normal"/>
    <w:rsid w:val="00431389"/>
    <w:pPr>
      <w:suppressAutoHyphens/>
      <w:overflowPunct w:val="0"/>
      <w:autoSpaceDE w:val="0"/>
      <w:spacing w:after="0" w:line="240" w:lineRule="auto"/>
      <w:ind w:left="567" w:firstLine="1134"/>
      <w:jc w:val="both"/>
      <w:textAlignment w:val="baseline"/>
    </w:pPr>
    <w:rPr>
      <w:rFonts w:ascii="Arial" w:eastAsia="Times New Roman" w:hAnsi="Arial" w:cs="Times New Roman"/>
      <w:sz w:val="20"/>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939</Words>
  <Characters>5165</Characters>
  <Application>Microsoft Office Word</Application>
  <DocSecurity>4</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glehenm</cp:lastModifiedBy>
  <cp:revision>2</cp:revision>
  <dcterms:created xsi:type="dcterms:W3CDTF">2020-02-06T15:50:00Z</dcterms:created>
  <dcterms:modified xsi:type="dcterms:W3CDTF">2020-02-06T15:50:00Z</dcterms:modified>
</cp:coreProperties>
</file>